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10 AI ASSIST</w:t>
      </w:r>
    </w:p>
    <w:p>
      <w:pPr>
        <w:pStyle w:val="Title"/>
      </w:pPr>
      <w:r>
        <w:t>Your Story Across the Record</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Compare the attached sources using Tool 10. Keep veteran memory, contemporaneous journal entries, provider notes, test results, treatment records, and provider conclusions as distinct source types. Do not copy one source into another source's column merely to complete the worksheet.</w:t>
              <w:br/>
              <w:br/>
              <w:t>Identify information that is consistent, different, partially consistent, unclear, or conflicting. Do not decide which source is correct and do not invent an explanation for a difference. Preserve distinctions between the veteran's report, provider observations, test results, treatment results, and provider conclusions. For every difference or agreement, show the source and page/location when available.</w:t>
              <w:br/>
              <w:br/>
              <w:t>If two statements can coexist without actually conflicting, say that rather than labeling them inconsistent. Do not make veteran memory more precise by importing dates, percentages, imaging findings, or other details from the medical record.</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